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8C" w:rsidRPr="004A5E8C" w:rsidRDefault="004A5E8C" w:rsidP="004A5E8C">
      <w:pPr>
        <w:shd w:val="clear" w:color="auto" w:fill="FFFFFF"/>
        <w:spacing w:before="100" w:beforeAutospacing="1" w:after="100" w:afterAutospacing="1" w:line="240" w:lineRule="auto"/>
        <w:jc w:val="center"/>
        <w:outlineLvl w:val="0"/>
        <w:rPr>
          <w:rFonts w:ascii="Arial" w:eastAsia="Times New Roman" w:hAnsi="Arial" w:cs="Arial"/>
          <w:b/>
          <w:bCs/>
          <w:caps/>
          <w:color w:val="000000"/>
          <w:kern w:val="36"/>
          <w:sz w:val="32"/>
          <w:szCs w:val="32"/>
        </w:rPr>
      </w:pPr>
      <w:r w:rsidRPr="004A5E8C">
        <w:rPr>
          <w:rFonts w:ascii="Arial" w:eastAsia="Times New Roman" w:hAnsi="Arial" w:cs="Arial"/>
          <w:b/>
          <w:bCs/>
          <w:caps/>
          <w:color w:val="000000"/>
          <w:kern w:val="36"/>
          <w:sz w:val="32"/>
          <w:szCs w:val="32"/>
        </w:rPr>
        <w:t>New Geography</w:t>
      </w:r>
    </w:p>
    <w:p w:rsidR="004A5E8C" w:rsidRPr="004A5E8C" w:rsidRDefault="004A5E8C" w:rsidP="004A5E8C">
      <w:pPr>
        <w:shd w:val="clear" w:color="auto" w:fill="FFFFFF"/>
        <w:spacing w:before="100" w:beforeAutospacing="1" w:after="100" w:afterAutospacing="1" w:line="240" w:lineRule="auto"/>
        <w:outlineLvl w:val="0"/>
        <w:rPr>
          <w:rFonts w:ascii="Arial" w:eastAsia="Times New Roman" w:hAnsi="Arial" w:cs="Arial"/>
          <w:b/>
          <w:bCs/>
          <w:caps/>
          <w:color w:val="000000"/>
          <w:kern w:val="36"/>
          <w:sz w:val="18"/>
          <w:szCs w:val="18"/>
        </w:rPr>
      </w:pPr>
      <w:r w:rsidRPr="004A5E8C">
        <w:rPr>
          <w:rFonts w:ascii="Arial" w:eastAsia="Times New Roman" w:hAnsi="Arial" w:cs="Arial"/>
          <w:b/>
          <w:bCs/>
          <w:caps/>
          <w:color w:val="000000"/>
          <w:kern w:val="36"/>
          <w:sz w:val="18"/>
          <w:szCs w:val="18"/>
        </w:rPr>
        <w:t>IS CALIFORNIA ABOUT TO CLOBBER LOCAL CONTROL?</w:t>
      </w:r>
    </w:p>
    <w:p w:rsidR="004A5E8C" w:rsidRPr="004A5E8C" w:rsidRDefault="004A5E8C" w:rsidP="004A5E8C">
      <w:pPr>
        <w:shd w:val="clear" w:color="auto" w:fill="FFFFFF"/>
        <w:spacing w:after="0" w:line="240" w:lineRule="auto"/>
        <w:rPr>
          <w:rFonts w:ascii="Arial" w:eastAsia="Times New Roman" w:hAnsi="Arial" w:cs="Arial"/>
          <w:color w:val="666666"/>
          <w:sz w:val="15"/>
          <w:szCs w:val="15"/>
        </w:rPr>
      </w:pPr>
      <w:proofErr w:type="gramStart"/>
      <w:r w:rsidRPr="004A5E8C">
        <w:rPr>
          <w:rFonts w:ascii="Arial" w:eastAsia="Times New Roman" w:hAnsi="Arial" w:cs="Arial"/>
          <w:color w:val="666666"/>
          <w:sz w:val="15"/>
          <w:szCs w:val="15"/>
        </w:rPr>
        <w:t>by</w:t>
      </w:r>
      <w:proofErr w:type="gramEnd"/>
      <w:r w:rsidRPr="004A5E8C">
        <w:rPr>
          <w:rFonts w:ascii="Arial" w:eastAsia="Times New Roman" w:hAnsi="Arial" w:cs="Arial"/>
          <w:color w:val="666666"/>
          <w:sz w:val="15"/>
          <w:szCs w:val="15"/>
        </w:rPr>
        <w:t> </w:t>
      </w:r>
      <w:hyperlink r:id="rId5" w:tooltip="View user profile." w:history="1">
        <w:r w:rsidRPr="004A5E8C">
          <w:rPr>
            <w:rFonts w:ascii="Arial" w:eastAsia="Times New Roman" w:hAnsi="Arial" w:cs="Arial"/>
            <w:color w:val="336699"/>
            <w:sz w:val="15"/>
            <w:szCs w:val="15"/>
          </w:rPr>
          <w:t>Zelda Bronstein</w:t>
        </w:r>
      </w:hyperlink>
      <w:r w:rsidRPr="004A5E8C">
        <w:rPr>
          <w:rFonts w:ascii="Arial" w:eastAsia="Times New Roman" w:hAnsi="Arial" w:cs="Arial"/>
          <w:color w:val="666666"/>
          <w:sz w:val="15"/>
          <w:szCs w:val="15"/>
        </w:rPr>
        <w:t> 05/31/2017</w:t>
      </w:r>
    </w:p>
    <w:p w:rsidR="004A5E8C" w:rsidRPr="004A5E8C" w:rsidRDefault="004A5E8C" w:rsidP="004A5E8C">
      <w:pPr>
        <w:shd w:val="clear" w:color="auto" w:fill="FFFFFF"/>
        <w:spacing w:after="0" w:line="336" w:lineRule="atLeast"/>
        <w:rPr>
          <w:rFonts w:ascii="Arial" w:eastAsia="Times New Roman" w:hAnsi="Arial" w:cs="Arial"/>
          <w:color w:val="000000"/>
          <w:sz w:val="17"/>
          <w:szCs w:val="17"/>
        </w:rPr>
      </w:pP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 xml:space="preserve">The gradual decimation of local voice in planning has become accepted policy in Sacramento. The State Senate is now considering two dangerous bills, SB 35 and SB 167, that together severely </w:t>
      </w:r>
      <w:proofErr w:type="gramStart"/>
      <w:r w:rsidRPr="004A5E8C">
        <w:rPr>
          <w:rFonts w:ascii="Georgia" w:eastAsia="Times New Roman" w:hAnsi="Georgia" w:cs="Arial"/>
          <w:color w:val="000000"/>
          <w:sz w:val="21"/>
          <w:szCs w:val="21"/>
        </w:rPr>
        <w:t>curtail</w:t>
      </w:r>
      <w:proofErr w:type="gramEnd"/>
      <w:r w:rsidRPr="004A5E8C">
        <w:rPr>
          <w:rFonts w:ascii="Georgia" w:eastAsia="Times New Roman" w:hAnsi="Georgia" w:cs="Arial"/>
          <w:color w:val="000000"/>
          <w:sz w:val="21"/>
          <w:szCs w:val="21"/>
        </w:rPr>
        <w:t xml:space="preserve"> democratic control of housing.</w:t>
      </w:r>
    </w:p>
    <w:p w:rsidR="004A5E8C" w:rsidRPr="00673385" w:rsidRDefault="00673385" w:rsidP="004A5E8C">
      <w:pPr>
        <w:shd w:val="clear" w:color="auto" w:fill="FFFFFF"/>
        <w:spacing w:before="30" w:after="210" w:line="324" w:lineRule="atLeast"/>
        <w:rPr>
          <w:rFonts w:ascii="Georgia" w:eastAsia="Times New Roman" w:hAnsi="Georgia" w:cs="Arial"/>
          <w:b/>
          <w:sz w:val="21"/>
          <w:szCs w:val="21"/>
        </w:rPr>
      </w:pPr>
      <w:hyperlink r:id="rId6" w:history="1">
        <w:r w:rsidR="004A5E8C" w:rsidRPr="00673385">
          <w:rPr>
            <w:rFonts w:ascii="Georgia" w:eastAsia="Times New Roman" w:hAnsi="Georgia" w:cs="Arial"/>
            <w:b/>
            <w:bCs/>
            <w:sz w:val="21"/>
            <w:szCs w:val="21"/>
          </w:rPr>
          <w:t>SB 35: Housing Accountability and Affordability Act (Wiener)</w:t>
        </w:r>
      </w:hyperlink>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SB 35, the brainchild of San Francisco State Senator Scott Wiener, would force cities that haven’t met all their state-mandated Regional Housing Need Allocations to give by-right approval to infill market-rate housing projects with as little as 10% officially affordable housing. </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 xml:space="preserve">SB 35 is anti-free speech and civic engagement. No public hearings, no environmental review, no negotiation over community benefits. </w:t>
      </w:r>
      <w:proofErr w:type="gramStart"/>
      <w:r w:rsidRPr="004A5E8C">
        <w:rPr>
          <w:rFonts w:ascii="Georgia" w:eastAsia="Times New Roman" w:hAnsi="Georgia" w:cs="Arial"/>
          <w:color w:val="000000"/>
          <w:sz w:val="21"/>
          <w:szCs w:val="21"/>
        </w:rPr>
        <w:t>Just “ministerial,” i.e., over-the-counter- approval.</w:t>
      </w:r>
      <w:proofErr w:type="gramEnd"/>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SB 35 is pro-gentrification. As a statewide coalition of affordable housing advocacy organizations has written:</w:t>
      </w:r>
    </w:p>
    <w:p w:rsidR="004A5E8C" w:rsidRPr="004A5E8C" w:rsidRDefault="004A5E8C" w:rsidP="004A5E8C">
      <w:pPr>
        <w:shd w:val="clear" w:color="auto" w:fill="FFFFFF"/>
        <w:spacing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Since almost no local jurisdiction in the State of California meets 100% of its market rate RHNA goal on a sustained basis, this bill essentially ensures by-right approval for market-rate projects simply by complying with a local inclusionary requirement [for affordable housing] or by building 10% affordable units.</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The practical result is that all market rate infill development in most every city in California will be eligible for by-right approval per this SB 35-proposed State law pre-emption.</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Berkeley Housing Commissioner Thomas Lord also has </w:t>
      </w:r>
      <w:hyperlink r:id="rId7" w:history="1">
        <w:r w:rsidRPr="00673385">
          <w:rPr>
            <w:rFonts w:ascii="Georgia" w:eastAsia="Times New Roman" w:hAnsi="Georgia" w:cs="Arial"/>
            <w:sz w:val="21"/>
            <w:szCs w:val="21"/>
          </w:rPr>
          <w:t>pointed out</w:t>
        </w:r>
      </w:hyperlink>
      <w:proofErr w:type="gramStart"/>
      <w:r w:rsidRPr="004A5E8C">
        <w:rPr>
          <w:rFonts w:ascii="Georgia" w:eastAsia="Times New Roman" w:hAnsi="Georgia" w:cs="Arial"/>
          <w:color w:val="000000"/>
          <w:sz w:val="21"/>
          <w:szCs w:val="21"/>
        </w:rPr>
        <w:t>,</w:t>
      </w:r>
      <w:proofErr w:type="gramEnd"/>
      <w:r w:rsidRPr="004A5E8C">
        <w:rPr>
          <w:rFonts w:ascii="Georgia" w:eastAsia="Times New Roman" w:hAnsi="Georgia" w:cs="Arial"/>
          <w:color w:val="000000"/>
          <w:sz w:val="21"/>
          <w:szCs w:val="21"/>
        </w:rPr>
        <w:t xml:space="preserve"> the RHNA program itself is a pro-gentrification policy. It follows that passage of SB 35 would further inflate real estate values and worsen the displacement of economically vulnerable California residents.</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 xml:space="preserve">SB 35 is pro-traffic congestion. It would prohibit cities from requiring parking in a “streamlined development approved pursuant” to </w:t>
      </w:r>
      <w:proofErr w:type="gramStart"/>
      <w:r w:rsidRPr="004A5E8C">
        <w:rPr>
          <w:rFonts w:ascii="Georgia" w:eastAsia="Times New Roman" w:hAnsi="Georgia" w:cs="Arial"/>
          <w:color w:val="000000"/>
          <w:sz w:val="21"/>
          <w:szCs w:val="21"/>
        </w:rPr>
        <w:t>SB  35</w:t>
      </w:r>
      <w:proofErr w:type="gramEnd"/>
      <w:r w:rsidRPr="004A5E8C">
        <w:rPr>
          <w:rFonts w:ascii="Georgia" w:eastAsia="Times New Roman" w:hAnsi="Georgia" w:cs="Arial"/>
          <w:color w:val="000000"/>
          <w:sz w:val="21"/>
          <w:szCs w:val="21"/>
        </w:rPr>
        <w:t>, located within a half-mile of public transit, in an architecturally and historically significant historic district, when on-street parking permits are required but not offered to the occupants of the project, and when there is a car share vehicle located within one block of the development. Other projects approved under the measure would be limited to one space per unit.</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Absent the provision of ample new public transit, the prohibition of parking in new development will worsen neighborhood traffic problems. SB 35 says nothing about new transit.</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lastRenderedPageBreak/>
        <w:t>The construction of on-site parking is expensive, up to $50,000 a space. A measure that exempts new development, as designated above, from including parking without requiring developers to transfer the savings to affordable housing is a giveaway to the real estate industry.</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Nor does SB 35 say anything about funding the amount of infrastructure and local services—fire and police, schools, parks—that would be required by the massive amount of development it mandates. Are local jurisdictions expected to foot the bill?</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The lineup of SB’s supporters and opponents reveals serious splits in the state’s environmental and affordable housing advocates. SB 35 has revealed serious splits among advocates for both environmental protection and affordable housing.</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Supporters include Bay Area Council, the lobby shop of the Bay Area’s biggest employers; BAC’s Silicon Valley counterpart, the Silicon Valley Leadership Group; the San Francisco and LA Chambers of Commerce; the Council of Infill Builders; several nonprofit housing organizations, including the Non-Profit Housing Association of Northern California and BRIDGE Housing; the Natural Resources Defense Council; the California League of Conservation Voters; and a panoply of YIMBY groups, including East Bay Forward and YIMBY Action.</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Opponents include the Sierra Club; the League of California Cities; the Council of Community Housing Organizations; the California Fire Chiefs Association; the Fire Districts Association of California; a handful of cities, including Hayward, Pasadena, and Santa Rosa; the Marin County Council of Mayors and Councilmembers; and many building trades organizations, including IBEW Locals 1245, 18, 465 and 551, and the Western States Council of Sheet Metal Workers.</w:t>
      </w:r>
    </w:p>
    <w:bookmarkStart w:id="0" w:name="_GoBack"/>
    <w:p w:rsidR="004A5E8C" w:rsidRPr="00673385" w:rsidRDefault="00673385" w:rsidP="004A5E8C">
      <w:pPr>
        <w:shd w:val="clear" w:color="auto" w:fill="FFFFFF"/>
        <w:spacing w:before="30" w:after="210" w:line="324" w:lineRule="atLeast"/>
        <w:rPr>
          <w:rFonts w:ascii="Georgia" w:eastAsia="Times New Roman" w:hAnsi="Georgia" w:cs="Arial"/>
          <w:b/>
          <w:sz w:val="21"/>
          <w:szCs w:val="21"/>
        </w:rPr>
      </w:pPr>
      <w:r w:rsidRPr="00673385">
        <w:rPr>
          <w:b/>
        </w:rPr>
        <w:fldChar w:fldCharType="begin"/>
      </w:r>
      <w:r w:rsidRPr="00673385">
        <w:rPr>
          <w:b/>
        </w:rPr>
        <w:instrText xml:space="preserve"> HYPERLINK "https://leginfo.legislature.ca.gov/faces/billCompareCli</w:instrText>
      </w:r>
      <w:r w:rsidRPr="00673385">
        <w:rPr>
          <w:b/>
        </w:rPr>
        <w:instrText xml:space="preserve">ent.xhtml?bill_id=201720180SB167" </w:instrText>
      </w:r>
      <w:r w:rsidRPr="00673385">
        <w:rPr>
          <w:b/>
        </w:rPr>
        <w:fldChar w:fldCharType="separate"/>
      </w:r>
      <w:r w:rsidR="004A5E8C" w:rsidRPr="00673385">
        <w:rPr>
          <w:rFonts w:ascii="Georgia" w:eastAsia="Times New Roman" w:hAnsi="Georgia" w:cs="Arial"/>
          <w:b/>
          <w:bCs/>
          <w:sz w:val="21"/>
          <w:szCs w:val="21"/>
        </w:rPr>
        <w:t>SB 167: Housing Accountability Act (Skinner)</w:t>
      </w:r>
      <w:r w:rsidRPr="00673385">
        <w:rPr>
          <w:rFonts w:ascii="Georgia" w:eastAsia="Times New Roman" w:hAnsi="Georgia" w:cs="Arial"/>
          <w:b/>
          <w:bCs/>
          <w:sz w:val="21"/>
          <w:szCs w:val="21"/>
        </w:rPr>
        <w:fldChar w:fldCharType="end"/>
      </w:r>
    </w:p>
    <w:bookmarkEnd w:id="0"/>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 xml:space="preserve">This bill, introduced by State Senator Nancy Skinner, who represents Berkeley and other East Bay cities, and sponsored by the Bay Area Renters Federation (BARF), is a companion to SB 35. It would prohibit cities from disapproving a housing project containing units affordable to very low-, low- or moderate-income renters, or conditioning the approval in a manner that renders the project financially infeasible, unless, among other things, the city has met or exceeded its share of regional housing needs for the relevant income category. (As of November 2016, HUD defined a moderate-income household of four people in Alameda County as one </w:t>
      </w:r>
      <w:r w:rsidRPr="00673385">
        <w:rPr>
          <w:rFonts w:ascii="Georgia" w:eastAsia="Times New Roman" w:hAnsi="Georgia" w:cs="Arial"/>
          <w:sz w:val="21"/>
          <w:szCs w:val="21"/>
        </w:rPr>
        <w:t>earning </w:t>
      </w:r>
      <w:hyperlink r:id="rId8" w:history="1">
        <w:r w:rsidRPr="00673385">
          <w:rPr>
            <w:rFonts w:ascii="Georgia" w:eastAsia="Times New Roman" w:hAnsi="Georgia" w:cs="Arial"/>
            <w:sz w:val="21"/>
            <w:szCs w:val="21"/>
          </w:rPr>
          <w:t>under $112,300 a year</w:t>
        </w:r>
      </w:hyperlink>
      <w:r w:rsidRPr="00673385">
        <w:rPr>
          <w:rFonts w:ascii="Georgia" w:eastAsia="Times New Roman" w:hAnsi="Georgia" w:cs="Arial"/>
          <w:sz w:val="21"/>
          <w:szCs w:val="21"/>
        </w:rPr>
        <w:t>.)</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The bill defines a “feasible” project as one that is “capable of being accomplished in a successful manner within a reasonable period of time, taking into account economic environmental, social, and technological factors.” It does not define “successful” or “reasonable.”</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If a city does disapprove such a project, it is liable to a minimum fine of $1,000 per unit of the housing development project, plus punitive damages, if a court finds that the local jurisdiction acted in bad faith.</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lastRenderedPageBreak/>
        <w:t>SB 167 authorizes the project applicant, a person who would be eligible to apply for residency in the development or emergency shelter, or a housing organization, to sue the jurisdiction to enforce SB 167’s provisions. The bill defines a housing organization as</w:t>
      </w:r>
    </w:p>
    <w:p w:rsidR="004A5E8C" w:rsidRPr="00673385" w:rsidRDefault="004A5E8C" w:rsidP="004A5E8C">
      <w:pPr>
        <w:shd w:val="clear" w:color="auto" w:fill="FFFFFF"/>
        <w:spacing w:after="210" w:line="324" w:lineRule="atLeast"/>
        <w:rPr>
          <w:rFonts w:ascii="Georgia" w:eastAsia="Times New Roman" w:hAnsi="Georgia" w:cs="Arial"/>
          <w:i/>
          <w:color w:val="000000"/>
          <w:sz w:val="21"/>
          <w:szCs w:val="21"/>
        </w:rPr>
      </w:pPr>
      <w:r w:rsidRPr="00673385">
        <w:rPr>
          <w:rFonts w:ascii="Georgia" w:eastAsia="Times New Roman" w:hAnsi="Georgia" w:cs="Arial"/>
          <w:i/>
          <w:color w:val="000000"/>
          <w:sz w:val="21"/>
          <w:szCs w:val="21"/>
        </w:rPr>
        <w:t>a trade or industry group whose local members are primarily engaged in the construction or management of housing units </w:t>
      </w:r>
      <w:r w:rsidRPr="00673385">
        <w:rPr>
          <w:rFonts w:ascii="Georgia" w:eastAsia="Times New Roman" w:hAnsi="Georgia" w:cs="Arial"/>
          <w:i/>
          <w:sz w:val="21"/>
          <w:szCs w:val="21"/>
        </w:rPr>
        <w:t>or a nonprofit organization whose mission includes providing or advocating for increased access to housing for low-income households </w:t>
      </w:r>
      <w:r w:rsidRPr="00673385">
        <w:rPr>
          <w:rFonts w:ascii="Georgia" w:eastAsia="Times New Roman" w:hAnsi="Georgia" w:cs="Arial"/>
          <w:i/>
          <w:color w:val="000000"/>
          <w:sz w:val="21"/>
          <w:szCs w:val="21"/>
        </w:rPr>
        <w:t xml:space="preserve">and have filed written or oral comments with the local agency prior to action on the housing development project </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The highlighted passage was added to the existing Housing Accountability Act to encompass BARF’s legal arm, the California Renters Legal Advocacy and Education Fund (</w:t>
      </w:r>
      <w:proofErr w:type="spellStart"/>
      <w:r w:rsidRPr="004A5E8C">
        <w:rPr>
          <w:rFonts w:ascii="Georgia" w:eastAsia="Times New Roman" w:hAnsi="Georgia" w:cs="Arial"/>
          <w:color w:val="000000"/>
          <w:sz w:val="21"/>
          <w:szCs w:val="21"/>
        </w:rPr>
        <w:t>CaRLA</w:t>
      </w:r>
      <w:proofErr w:type="spellEnd"/>
      <w:r w:rsidRPr="004A5E8C">
        <w:rPr>
          <w:rFonts w:ascii="Georgia" w:eastAsia="Times New Roman" w:hAnsi="Georgia" w:cs="Arial"/>
          <w:color w:val="000000"/>
          <w:sz w:val="21"/>
          <w:szCs w:val="21"/>
        </w:rPr>
        <w:t xml:space="preserve">), whose lawsuit of Lafayette recently failed. Last week </w:t>
      </w:r>
      <w:proofErr w:type="spellStart"/>
      <w:r w:rsidRPr="004A5E8C">
        <w:rPr>
          <w:rFonts w:ascii="Georgia" w:eastAsia="Times New Roman" w:hAnsi="Georgia" w:cs="Arial"/>
          <w:color w:val="000000"/>
          <w:sz w:val="21"/>
          <w:szCs w:val="21"/>
        </w:rPr>
        <w:t>CaRLA</w:t>
      </w:r>
      <w:proofErr w:type="spellEnd"/>
      <w:r w:rsidRPr="004A5E8C">
        <w:rPr>
          <w:rFonts w:ascii="Georgia" w:eastAsia="Times New Roman" w:hAnsi="Georgia" w:cs="Arial"/>
          <w:color w:val="000000"/>
          <w:sz w:val="21"/>
          <w:szCs w:val="21"/>
        </w:rPr>
        <w:t xml:space="preserve"> re-instituted its lawsuit of Berkeley over the city’s rejection of a project at 1310 Haskell.</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SB 167 further amends the existing Housing Accountability Act to entitle successful plaintiffs to “reasonable attorney’s fees and costs.”</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 xml:space="preserve">Predictably, the bill is supported by the Bay Area Council, the lobby shop for the region’s largest employers; the California Building Industry Association; the </w:t>
      </w:r>
      <w:proofErr w:type="spellStart"/>
      <w:r w:rsidRPr="004A5E8C">
        <w:rPr>
          <w:rFonts w:ascii="Georgia" w:eastAsia="Times New Roman" w:hAnsi="Georgia" w:cs="Arial"/>
          <w:color w:val="000000"/>
          <w:sz w:val="21"/>
          <w:szCs w:val="21"/>
        </w:rPr>
        <w:t>Terner</w:t>
      </w:r>
      <w:proofErr w:type="spellEnd"/>
      <w:r w:rsidRPr="004A5E8C">
        <w:rPr>
          <w:rFonts w:ascii="Georgia" w:eastAsia="Times New Roman" w:hAnsi="Georgia" w:cs="Arial"/>
          <w:color w:val="000000"/>
          <w:sz w:val="21"/>
          <w:szCs w:val="21"/>
        </w:rPr>
        <w:t xml:space="preserve"> Center at UC Berkeley; the San Francisco Housing Action Coalition; and YIMBY groups, including East Bay Forward, Abundant Housing LA, and of course </w:t>
      </w:r>
      <w:proofErr w:type="spellStart"/>
      <w:r w:rsidRPr="004A5E8C">
        <w:rPr>
          <w:rFonts w:ascii="Georgia" w:eastAsia="Times New Roman" w:hAnsi="Georgia" w:cs="Arial"/>
          <w:color w:val="000000"/>
          <w:sz w:val="21"/>
          <w:szCs w:val="21"/>
        </w:rPr>
        <w:t>CaRLA</w:t>
      </w:r>
      <w:proofErr w:type="spellEnd"/>
      <w:r w:rsidRPr="004A5E8C">
        <w:rPr>
          <w:rFonts w:ascii="Georgia" w:eastAsia="Times New Roman" w:hAnsi="Georgia" w:cs="Arial"/>
          <w:color w:val="000000"/>
          <w:sz w:val="21"/>
          <w:szCs w:val="21"/>
        </w:rPr>
        <w:t>.</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Opponents include the California Association of Counties and the American Planning Association.</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color w:val="000000"/>
          <w:sz w:val="21"/>
          <w:szCs w:val="21"/>
        </w:rPr>
        <w:t>If these bills—especially SB 35—become law, Californians will have lost a good deal of their right to a say the life and governance of the communities in which they live.</w:t>
      </w:r>
    </w:p>
    <w:p w:rsidR="004A5E8C" w:rsidRPr="004A5E8C" w:rsidRDefault="004A5E8C" w:rsidP="004A5E8C">
      <w:pPr>
        <w:shd w:val="clear" w:color="auto" w:fill="FFFFFF"/>
        <w:spacing w:before="30" w:after="210" w:line="324" w:lineRule="atLeast"/>
        <w:rPr>
          <w:rFonts w:ascii="Georgia" w:eastAsia="Times New Roman" w:hAnsi="Georgia" w:cs="Arial"/>
          <w:color w:val="000000"/>
          <w:sz w:val="21"/>
          <w:szCs w:val="21"/>
        </w:rPr>
      </w:pPr>
      <w:r w:rsidRPr="004A5E8C">
        <w:rPr>
          <w:rFonts w:ascii="Georgia" w:eastAsia="Times New Roman" w:hAnsi="Georgia" w:cs="Arial"/>
          <w:i/>
          <w:iCs/>
          <w:color w:val="000000"/>
          <w:sz w:val="21"/>
          <w:szCs w:val="21"/>
        </w:rPr>
        <w:t>This piece was first published in </w:t>
      </w:r>
      <w:hyperlink r:id="rId9" w:history="1">
        <w:r w:rsidRPr="004A5E8C">
          <w:rPr>
            <w:rFonts w:ascii="Georgia" w:eastAsia="Times New Roman" w:hAnsi="Georgia" w:cs="Arial"/>
            <w:i/>
            <w:iCs/>
            <w:color w:val="336699"/>
            <w:sz w:val="21"/>
            <w:szCs w:val="21"/>
          </w:rPr>
          <w:t>Berkeley Daily Planet</w:t>
        </w:r>
      </w:hyperlink>
      <w:r w:rsidRPr="004A5E8C">
        <w:rPr>
          <w:rFonts w:ascii="Georgia" w:eastAsia="Times New Roman" w:hAnsi="Georgia" w:cs="Arial"/>
          <w:i/>
          <w:iCs/>
          <w:color w:val="000000"/>
          <w:sz w:val="21"/>
          <w:szCs w:val="21"/>
        </w:rPr>
        <w:t> and </w:t>
      </w:r>
      <w:hyperlink r:id="rId10" w:history="1">
        <w:r w:rsidRPr="004A5E8C">
          <w:rPr>
            <w:rFonts w:ascii="Georgia" w:eastAsia="Times New Roman" w:hAnsi="Georgia" w:cs="Arial"/>
            <w:i/>
            <w:iCs/>
            <w:color w:val="336699"/>
            <w:sz w:val="21"/>
            <w:szCs w:val="21"/>
          </w:rPr>
          <w:t>Marin Post</w:t>
        </w:r>
      </w:hyperlink>
      <w:r w:rsidRPr="004A5E8C">
        <w:rPr>
          <w:rFonts w:ascii="Georgia" w:eastAsia="Times New Roman" w:hAnsi="Georgia" w:cs="Arial"/>
          <w:i/>
          <w:iCs/>
          <w:color w:val="000000"/>
          <w:sz w:val="21"/>
          <w:szCs w:val="21"/>
        </w:rPr>
        <w:t>.</w:t>
      </w:r>
    </w:p>
    <w:p w:rsidR="004A5E8C" w:rsidRPr="004A5E8C" w:rsidRDefault="004A5E8C" w:rsidP="004A5E8C">
      <w:pPr>
        <w:shd w:val="clear" w:color="auto" w:fill="FFFFFF"/>
        <w:spacing w:before="30" w:line="324" w:lineRule="atLeast"/>
        <w:rPr>
          <w:rFonts w:ascii="Georgia" w:eastAsia="Times New Roman" w:hAnsi="Georgia" w:cs="Arial"/>
          <w:color w:val="000000"/>
          <w:sz w:val="21"/>
          <w:szCs w:val="21"/>
        </w:rPr>
      </w:pPr>
      <w:r w:rsidRPr="004A5E8C">
        <w:rPr>
          <w:rFonts w:ascii="Georgia" w:eastAsia="Times New Roman" w:hAnsi="Georgia" w:cs="Arial"/>
          <w:i/>
          <w:iCs/>
          <w:color w:val="000000"/>
          <w:sz w:val="21"/>
          <w:szCs w:val="21"/>
        </w:rPr>
        <w:t>Zelda Bronstein, a journalist and a former chair of the Berkeley Planning Commission, writes about politics and culture in the Bay Area and beyond.</w:t>
      </w:r>
    </w:p>
    <w:p w:rsidR="009240C8" w:rsidRDefault="009240C8"/>
    <w:sectPr w:rsidR="009240C8" w:rsidSect="00D4661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8C"/>
    <w:rsid w:val="004A5E8C"/>
    <w:rsid w:val="00673385"/>
    <w:rsid w:val="009240C8"/>
    <w:rsid w:val="00D4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5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E8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A5E8C"/>
  </w:style>
  <w:style w:type="character" w:styleId="Hyperlink">
    <w:name w:val="Hyperlink"/>
    <w:basedOn w:val="DefaultParagraphFont"/>
    <w:uiPriority w:val="99"/>
    <w:semiHidden/>
    <w:unhideWhenUsed/>
    <w:rsid w:val="004A5E8C"/>
    <w:rPr>
      <w:color w:val="0000FF"/>
      <w:u w:val="single"/>
    </w:rPr>
  </w:style>
  <w:style w:type="paragraph" w:styleId="NormalWeb">
    <w:name w:val="Normal (Web)"/>
    <w:basedOn w:val="Normal"/>
    <w:uiPriority w:val="99"/>
    <w:semiHidden/>
    <w:unhideWhenUsed/>
    <w:rsid w:val="004A5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5E8C"/>
    <w:rPr>
      <w:b/>
      <w:bCs/>
    </w:rPr>
  </w:style>
  <w:style w:type="character" w:styleId="Emphasis">
    <w:name w:val="Emphasis"/>
    <w:basedOn w:val="DefaultParagraphFont"/>
    <w:uiPriority w:val="20"/>
    <w:qFormat/>
    <w:rsid w:val="004A5E8C"/>
    <w:rPr>
      <w:i/>
      <w:iCs/>
    </w:rPr>
  </w:style>
  <w:style w:type="paragraph" w:styleId="BalloonText">
    <w:name w:val="Balloon Text"/>
    <w:basedOn w:val="Normal"/>
    <w:link w:val="BalloonTextChar"/>
    <w:uiPriority w:val="99"/>
    <w:semiHidden/>
    <w:unhideWhenUsed/>
    <w:rsid w:val="004A5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5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E8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A5E8C"/>
  </w:style>
  <w:style w:type="character" w:styleId="Hyperlink">
    <w:name w:val="Hyperlink"/>
    <w:basedOn w:val="DefaultParagraphFont"/>
    <w:uiPriority w:val="99"/>
    <w:semiHidden/>
    <w:unhideWhenUsed/>
    <w:rsid w:val="004A5E8C"/>
    <w:rPr>
      <w:color w:val="0000FF"/>
      <w:u w:val="single"/>
    </w:rPr>
  </w:style>
  <w:style w:type="paragraph" w:styleId="NormalWeb">
    <w:name w:val="Normal (Web)"/>
    <w:basedOn w:val="Normal"/>
    <w:uiPriority w:val="99"/>
    <w:semiHidden/>
    <w:unhideWhenUsed/>
    <w:rsid w:val="004A5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5E8C"/>
    <w:rPr>
      <w:b/>
      <w:bCs/>
    </w:rPr>
  </w:style>
  <w:style w:type="character" w:styleId="Emphasis">
    <w:name w:val="Emphasis"/>
    <w:basedOn w:val="DefaultParagraphFont"/>
    <w:uiPriority w:val="20"/>
    <w:qFormat/>
    <w:rsid w:val="004A5E8C"/>
    <w:rPr>
      <w:i/>
      <w:iCs/>
    </w:rPr>
  </w:style>
  <w:style w:type="paragraph" w:styleId="BalloonText">
    <w:name w:val="Balloon Text"/>
    <w:basedOn w:val="Normal"/>
    <w:link w:val="BalloonTextChar"/>
    <w:uiPriority w:val="99"/>
    <w:semiHidden/>
    <w:unhideWhenUsed/>
    <w:rsid w:val="004A5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35791">
      <w:bodyDiv w:val="1"/>
      <w:marLeft w:val="0"/>
      <w:marRight w:val="0"/>
      <w:marTop w:val="0"/>
      <w:marBottom w:val="0"/>
      <w:divBdr>
        <w:top w:val="none" w:sz="0" w:space="0" w:color="auto"/>
        <w:left w:val="none" w:sz="0" w:space="0" w:color="auto"/>
        <w:bottom w:val="none" w:sz="0" w:space="0" w:color="auto"/>
        <w:right w:val="none" w:sz="0" w:space="0" w:color="auto"/>
      </w:divBdr>
      <w:divsChild>
        <w:div w:id="1175919811">
          <w:marLeft w:val="0"/>
          <w:marRight w:val="0"/>
          <w:marTop w:val="120"/>
          <w:marBottom w:val="480"/>
          <w:divBdr>
            <w:top w:val="none" w:sz="0" w:space="0" w:color="auto"/>
            <w:left w:val="none" w:sz="0" w:space="0" w:color="auto"/>
            <w:bottom w:val="single" w:sz="2" w:space="8" w:color="CCCCCC"/>
            <w:right w:val="none" w:sz="0" w:space="0" w:color="auto"/>
          </w:divBdr>
          <w:divsChild>
            <w:div w:id="1534466269">
              <w:marLeft w:val="0"/>
              <w:marRight w:val="0"/>
              <w:marTop w:val="150"/>
              <w:marBottom w:val="0"/>
              <w:divBdr>
                <w:top w:val="single" w:sz="12" w:space="4" w:color="CCCCCC"/>
                <w:left w:val="none" w:sz="0" w:space="0" w:color="auto"/>
                <w:bottom w:val="single" w:sz="6" w:space="4" w:color="CCCCCC"/>
                <w:right w:val="none" w:sz="0" w:space="0" w:color="auto"/>
              </w:divBdr>
            </w:div>
            <w:div w:id="581260112">
              <w:marLeft w:val="0"/>
              <w:marRight w:val="0"/>
              <w:marTop w:val="120"/>
              <w:marBottom w:val="120"/>
              <w:divBdr>
                <w:top w:val="none" w:sz="0" w:space="0" w:color="auto"/>
                <w:left w:val="none" w:sz="0" w:space="0" w:color="auto"/>
                <w:bottom w:val="none" w:sz="0" w:space="0" w:color="auto"/>
                <w:right w:val="none" w:sz="0" w:space="0" w:color="auto"/>
              </w:divBdr>
              <w:divsChild>
                <w:div w:id="1753159083">
                  <w:marLeft w:val="0"/>
                  <w:marRight w:val="0"/>
                  <w:marTop w:val="0"/>
                  <w:marBottom w:val="0"/>
                  <w:divBdr>
                    <w:top w:val="none" w:sz="0" w:space="0" w:color="auto"/>
                    <w:left w:val="none" w:sz="0" w:space="0" w:color="auto"/>
                    <w:bottom w:val="none" w:sz="0" w:space="0" w:color="auto"/>
                    <w:right w:val="none" w:sz="0" w:space="0" w:color="auto"/>
                  </w:divBdr>
                  <w:divsChild>
                    <w:div w:id="1265386610">
                      <w:marLeft w:val="0"/>
                      <w:marRight w:val="0"/>
                      <w:marTop w:val="0"/>
                      <w:marBottom w:val="0"/>
                      <w:divBdr>
                        <w:top w:val="none" w:sz="0" w:space="0" w:color="auto"/>
                        <w:left w:val="none" w:sz="0" w:space="0" w:color="auto"/>
                        <w:bottom w:val="none" w:sz="0" w:space="0" w:color="auto"/>
                        <w:right w:val="none" w:sz="0" w:space="0" w:color="auto"/>
                      </w:divBdr>
                      <w:divsChild>
                        <w:div w:id="16896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7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meryville.ca.us/DocumentCenter/View/157" TargetMode="External"/><Relationship Id="rId3" Type="http://schemas.openxmlformats.org/officeDocument/2006/relationships/settings" Target="settings.xml"/><Relationship Id="rId7" Type="http://schemas.openxmlformats.org/officeDocument/2006/relationships/hyperlink" Target="http://48hills.org/2017/05/19/why-housing-quotas-lead-to-displacemen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info.legislature.ca.gov/faces/billNavClient.xhtml?bill_id=201720180SB35" TargetMode="External"/><Relationship Id="rId11" Type="http://schemas.openxmlformats.org/officeDocument/2006/relationships/fontTable" Target="fontTable.xml"/><Relationship Id="rId5" Type="http://schemas.openxmlformats.org/officeDocument/2006/relationships/hyperlink" Target="http://www.newgeography.com/users/zelda-bronstein" TargetMode="External"/><Relationship Id="rId10" Type="http://schemas.openxmlformats.org/officeDocument/2006/relationships/hyperlink" Target="https://marinpost.org/" TargetMode="External"/><Relationship Id="rId4" Type="http://schemas.openxmlformats.org/officeDocument/2006/relationships/webSettings" Target="webSettings.xml"/><Relationship Id="rId9" Type="http://schemas.openxmlformats.org/officeDocument/2006/relationships/hyperlink" Target="http://www.berkeleydailypl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2017-06-17T00:57:00Z</dcterms:created>
  <dcterms:modified xsi:type="dcterms:W3CDTF">2017-06-17T01:09:00Z</dcterms:modified>
</cp:coreProperties>
</file>