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50" w:type="dxa"/>
        <w:jc w:val="center"/>
        <w:tblInd w:w="-120" w:type="dxa"/>
        <w:tblCellMar>
          <w:left w:w="0" w:type="dxa"/>
          <w:right w:w="0" w:type="dxa"/>
        </w:tblCellMar>
        <w:tblLook w:val="04A0" w:firstRow="1" w:lastRow="0" w:firstColumn="1" w:lastColumn="0" w:noHBand="0" w:noVBand="1"/>
      </w:tblPr>
      <w:tblGrid>
        <w:gridCol w:w="3521"/>
        <w:gridCol w:w="1444"/>
        <w:gridCol w:w="6585"/>
      </w:tblGrid>
      <w:tr w:rsidR="00056942" w:rsidRPr="00905808" w:rsidTr="00F43C5E">
        <w:trPr>
          <w:jc w:val="center"/>
        </w:trPr>
        <w:tc>
          <w:tcPr>
            <w:tcW w:w="0" w:type="auto"/>
            <w:tcBorders>
              <w:top w:val="nil"/>
              <w:left w:val="nil"/>
              <w:bottom w:val="nil"/>
              <w:right w:val="nil"/>
            </w:tcBorders>
            <w:vAlign w:val="bottom"/>
          </w:tcPr>
          <w:p w:rsidR="00056942" w:rsidRPr="002746BB" w:rsidRDefault="00056942" w:rsidP="00721562">
            <w:pPr>
              <w:spacing w:after="0" w:line="240" w:lineRule="auto"/>
              <w:rPr>
                <w:rFonts w:ascii="inherit" w:eastAsia="Times New Roman" w:hAnsi="inherit" w:cs="Times New Roman"/>
                <w:caps/>
                <w:color w:val="333333"/>
                <w:sz w:val="31"/>
                <w:szCs w:val="31"/>
              </w:rPr>
            </w:pPr>
            <w:r w:rsidRPr="002746BB">
              <w:rPr>
                <w:rFonts w:ascii="inherit" w:eastAsia="Times New Roman" w:hAnsi="inherit" w:cs="Times New Roman"/>
                <w:b/>
                <w:bCs/>
                <w:caps/>
                <w:color w:val="111111"/>
                <w:sz w:val="31"/>
                <w:szCs w:val="31"/>
              </w:rPr>
              <w:t>SENATE BILL</w:t>
            </w:r>
          </w:p>
        </w:tc>
        <w:tc>
          <w:tcPr>
            <w:tcW w:w="0" w:type="auto"/>
            <w:tcBorders>
              <w:top w:val="nil"/>
              <w:left w:val="nil"/>
              <w:bottom w:val="nil"/>
              <w:right w:val="nil"/>
            </w:tcBorders>
            <w:vAlign w:val="bottom"/>
          </w:tcPr>
          <w:p w:rsidR="00056942" w:rsidRPr="002746BB" w:rsidRDefault="00056942" w:rsidP="00056942">
            <w:pPr>
              <w:spacing w:after="0" w:line="240" w:lineRule="auto"/>
              <w:rPr>
                <w:rFonts w:ascii="inherit" w:eastAsia="Times New Roman" w:hAnsi="inherit" w:cs="Times New Roman"/>
                <w:color w:val="333333"/>
                <w:sz w:val="31"/>
                <w:szCs w:val="31"/>
              </w:rPr>
            </w:pPr>
            <w:bookmarkStart w:id="0" w:name="_GoBack"/>
            <w:bookmarkEnd w:id="0"/>
            <w:r w:rsidRPr="002746BB">
              <w:rPr>
                <w:rFonts w:ascii="inherit" w:eastAsia="Times New Roman" w:hAnsi="inherit" w:cs="Times New Roman"/>
                <w:b/>
                <w:bCs/>
                <w:color w:val="111111"/>
                <w:sz w:val="31"/>
                <w:szCs w:val="31"/>
              </w:rPr>
              <w:t xml:space="preserve">No. </w:t>
            </w:r>
            <w:r>
              <w:rPr>
                <w:rFonts w:ascii="inherit" w:eastAsia="Times New Roman" w:hAnsi="inherit" w:cs="Times New Roman"/>
                <w:b/>
                <w:bCs/>
                <w:color w:val="111111"/>
                <w:sz w:val="31"/>
                <w:szCs w:val="31"/>
              </w:rPr>
              <w:t>35</w:t>
            </w:r>
          </w:p>
        </w:tc>
        <w:tc>
          <w:tcPr>
            <w:tcW w:w="0" w:type="auto"/>
            <w:tcBorders>
              <w:top w:val="nil"/>
              <w:left w:val="nil"/>
              <w:bottom w:val="nil"/>
              <w:right w:val="nil"/>
            </w:tcBorders>
            <w:tcMar>
              <w:top w:w="24" w:type="dxa"/>
              <w:left w:w="120" w:type="dxa"/>
              <w:bottom w:w="180" w:type="dxa"/>
              <w:right w:w="120" w:type="dxa"/>
            </w:tcMar>
            <w:vAlign w:val="bottom"/>
            <w:hideMark/>
          </w:tcPr>
          <w:p w:rsidR="00056942" w:rsidRPr="00905808" w:rsidRDefault="00056942" w:rsidP="00905808">
            <w:pPr>
              <w:spacing w:after="0" w:line="240" w:lineRule="auto"/>
              <w:jc w:val="center"/>
              <w:rPr>
                <w:rFonts w:ascii="inherit" w:eastAsia="Times New Roman" w:hAnsi="inherit" w:cs="Times New Roman"/>
                <w:sz w:val="24"/>
                <w:szCs w:val="24"/>
              </w:rPr>
            </w:pPr>
            <w:r w:rsidRPr="00905808">
              <w:rPr>
                <w:rFonts w:ascii="inherit" w:eastAsia="Times New Roman" w:hAnsi="inherit" w:cs="Times New Roman"/>
                <w:b/>
                <w:bCs/>
                <w:sz w:val="23"/>
                <w:szCs w:val="23"/>
                <w:bdr w:val="none" w:sz="0" w:space="0" w:color="auto" w:frame="1"/>
              </w:rPr>
              <w:t>Introduced by Senator Wiener</w:t>
            </w:r>
            <w:r w:rsidRPr="00905808">
              <w:rPr>
                <w:rFonts w:ascii="inherit" w:eastAsia="Times New Roman" w:hAnsi="inherit" w:cs="Times New Roman"/>
                <w:b/>
                <w:bCs/>
                <w:sz w:val="23"/>
                <w:szCs w:val="23"/>
                <w:bdr w:val="none" w:sz="0" w:space="0" w:color="auto" w:frame="1"/>
              </w:rPr>
              <w:br/>
              <w:t>(Principal coauthor: Senator Atkins)</w:t>
            </w:r>
            <w:r w:rsidRPr="00905808">
              <w:rPr>
                <w:rFonts w:ascii="inherit" w:eastAsia="Times New Roman" w:hAnsi="inherit" w:cs="Times New Roman"/>
                <w:b/>
                <w:bCs/>
                <w:sz w:val="23"/>
                <w:szCs w:val="23"/>
                <w:bdr w:val="none" w:sz="0" w:space="0" w:color="auto" w:frame="1"/>
              </w:rPr>
              <w:br/>
              <w:t>(Coauthor: Senator Allen)</w:t>
            </w:r>
          </w:p>
        </w:tc>
      </w:tr>
      <w:tr w:rsidR="00056942" w:rsidRPr="00905808" w:rsidTr="00056942">
        <w:trPr>
          <w:jc w:val="center"/>
        </w:trPr>
        <w:tc>
          <w:tcPr>
            <w:tcW w:w="0" w:type="auto"/>
            <w:tcBorders>
              <w:top w:val="nil"/>
              <w:left w:val="nil"/>
              <w:bottom w:val="nil"/>
              <w:right w:val="nil"/>
            </w:tcBorders>
          </w:tcPr>
          <w:p w:rsidR="00056942" w:rsidRPr="00905808" w:rsidRDefault="00056942" w:rsidP="00905808">
            <w:pPr>
              <w:spacing w:after="0" w:line="240" w:lineRule="auto"/>
              <w:jc w:val="center"/>
              <w:rPr>
                <w:rFonts w:ascii="inherit" w:eastAsia="Times New Roman" w:hAnsi="inherit" w:cs="Times New Roman"/>
                <w:b/>
                <w:bCs/>
              </w:rPr>
            </w:pPr>
          </w:p>
        </w:tc>
        <w:tc>
          <w:tcPr>
            <w:tcW w:w="0" w:type="auto"/>
            <w:tcBorders>
              <w:top w:val="nil"/>
              <w:left w:val="nil"/>
              <w:bottom w:val="nil"/>
              <w:right w:val="nil"/>
            </w:tcBorders>
          </w:tcPr>
          <w:p w:rsidR="00056942" w:rsidRPr="00905808" w:rsidRDefault="00056942" w:rsidP="00905808">
            <w:pPr>
              <w:spacing w:after="0" w:line="240" w:lineRule="auto"/>
              <w:jc w:val="center"/>
              <w:rPr>
                <w:rFonts w:ascii="inherit" w:eastAsia="Times New Roman" w:hAnsi="inherit" w:cs="Times New Roman"/>
                <w:b/>
                <w:bCs/>
              </w:rPr>
            </w:pPr>
          </w:p>
        </w:tc>
        <w:tc>
          <w:tcPr>
            <w:tcW w:w="0" w:type="auto"/>
            <w:tcBorders>
              <w:top w:val="nil"/>
              <w:left w:val="nil"/>
              <w:bottom w:val="nil"/>
              <w:right w:val="nil"/>
            </w:tcBorders>
            <w:tcMar>
              <w:top w:w="24" w:type="dxa"/>
              <w:left w:w="120" w:type="dxa"/>
              <w:bottom w:w="180" w:type="dxa"/>
              <w:right w:w="120" w:type="dxa"/>
            </w:tcMar>
            <w:vAlign w:val="bottom"/>
            <w:hideMark/>
          </w:tcPr>
          <w:p w:rsidR="00056942" w:rsidRPr="00905808" w:rsidRDefault="00056942" w:rsidP="00056942">
            <w:pPr>
              <w:spacing w:after="0" w:line="240" w:lineRule="auto"/>
              <w:rPr>
                <w:rFonts w:ascii="inherit" w:eastAsia="Times New Roman" w:hAnsi="inherit" w:cs="Times New Roman"/>
                <w:b/>
                <w:bCs/>
              </w:rPr>
            </w:pPr>
            <w:r w:rsidRPr="00905808">
              <w:rPr>
                <w:rFonts w:ascii="inherit" w:eastAsia="Times New Roman" w:hAnsi="inherit" w:cs="Times New Roman"/>
                <w:b/>
                <w:bCs/>
              </w:rPr>
              <w:t>December 05, 2016</w:t>
            </w:r>
          </w:p>
        </w:tc>
      </w:tr>
    </w:tbl>
    <w:p w:rsidR="00905808" w:rsidRPr="00905808" w:rsidRDefault="00056942" w:rsidP="00905808">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940.55pt;height:.75pt" o:hrpct="0" o:hrstd="t" o:hrnoshade="t" o:hr="t" fillcolor="#333" stroked="f"/>
        </w:pict>
      </w:r>
    </w:p>
    <w:p w:rsidR="00905808" w:rsidRPr="00905808" w:rsidRDefault="00905808" w:rsidP="00905808">
      <w:pPr>
        <w:spacing w:after="360" w:line="240" w:lineRule="auto"/>
        <w:rPr>
          <w:rFonts w:ascii="Times New Roman" w:eastAsia="Times New Roman" w:hAnsi="Times New Roman" w:cs="Times New Roman"/>
          <w:sz w:val="24"/>
          <w:szCs w:val="24"/>
        </w:rPr>
      </w:pPr>
    </w:p>
    <w:p w:rsidR="00905808" w:rsidRPr="00905808" w:rsidRDefault="00905808" w:rsidP="00905808">
      <w:pPr>
        <w:shd w:val="clear" w:color="auto" w:fill="FFFFFF"/>
        <w:spacing w:after="0" w:line="240" w:lineRule="auto"/>
        <w:jc w:val="center"/>
        <w:textAlignment w:val="baseline"/>
        <w:rPr>
          <w:rFonts w:ascii="Verdana" w:eastAsia="Times New Roman" w:hAnsi="Verdana" w:cs="Times New Roman"/>
          <w:b/>
          <w:bCs/>
          <w:color w:val="000000"/>
          <w:sz w:val="29"/>
          <w:szCs w:val="29"/>
        </w:rPr>
      </w:pPr>
      <w:proofErr w:type="gramStart"/>
      <w:r w:rsidRPr="00905808">
        <w:rPr>
          <w:rFonts w:ascii="inherit" w:eastAsia="Times New Roman" w:hAnsi="inherit" w:cs="Times New Roman"/>
          <w:color w:val="000000"/>
          <w:sz w:val="26"/>
          <w:szCs w:val="26"/>
          <w:bdr w:val="none" w:sz="0" w:space="0" w:color="auto" w:frame="1"/>
        </w:rPr>
        <w:t>An act to amend Sections 65400 and 65582.1 of, and to add Section 65913.4 to, the Government Code, relating to housing.</w:t>
      </w:r>
      <w:proofErr w:type="gramEnd"/>
    </w:p>
    <w:p w:rsidR="00905808" w:rsidRPr="00905808" w:rsidRDefault="00905808" w:rsidP="00905808">
      <w:pPr>
        <w:spacing w:after="0" w:line="240" w:lineRule="auto"/>
        <w:rPr>
          <w:rFonts w:ascii="Times New Roman" w:eastAsia="Times New Roman" w:hAnsi="Times New Roman" w:cs="Times New Roman"/>
          <w:sz w:val="24"/>
          <w:szCs w:val="24"/>
        </w:rPr>
      </w:pPr>
      <w:r w:rsidRPr="00905808">
        <w:rPr>
          <w:rFonts w:ascii="Verdana" w:eastAsia="Times New Roman" w:hAnsi="Verdana" w:cs="Times New Roman"/>
          <w:color w:val="333333"/>
        </w:rPr>
        <w:br w:type="textWrapping" w:clear="all"/>
      </w:r>
      <w:r w:rsidRPr="00905808">
        <w:rPr>
          <w:rFonts w:ascii="Verdana" w:eastAsia="Times New Roman" w:hAnsi="Verdana" w:cs="Times New Roman"/>
          <w:color w:val="333333"/>
        </w:rPr>
        <w:br w:type="textWrapping" w:clear="all"/>
      </w:r>
    </w:p>
    <w:p w:rsidR="00905808" w:rsidRPr="00905808" w:rsidRDefault="00905808" w:rsidP="00905808">
      <w:pPr>
        <w:shd w:val="clear" w:color="auto" w:fill="FFFFFF"/>
        <w:spacing w:after="0" w:line="288" w:lineRule="atLeast"/>
        <w:jc w:val="center"/>
        <w:textAlignment w:val="baseline"/>
        <w:outlineLvl w:val="1"/>
        <w:rPr>
          <w:rFonts w:ascii="Palatino Linotype" w:eastAsia="Times New Roman" w:hAnsi="Palatino Linotype" w:cs="Times New Roman"/>
          <w:caps/>
          <w:color w:val="333333"/>
          <w:sz w:val="31"/>
          <w:szCs w:val="31"/>
        </w:rPr>
      </w:pPr>
      <w:r w:rsidRPr="00905808">
        <w:rPr>
          <w:rFonts w:ascii="Palatino Linotype" w:eastAsia="Times New Roman" w:hAnsi="Palatino Linotype" w:cs="Times New Roman"/>
          <w:caps/>
          <w:color w:val="333333"/>
          <w:sz w:val="31"/>
          <w:szCs w:val="31"/>
        </w:rPr>
        <w:t>LEGISLATIVE COUNSEL'S DIGEST</w:t>
      </w:r>
    </w:p>
    <w:p w:rsidR="00905808" w:rsidRPr="00905808" w:rsidRDefault="00905808" w:rsidP="00905808">
      <w:pPr>
        <w:spacing w:after="0" w:line="240" w:lineRule="auto"/>
        <w:rPr>
          <w:rFonts w:ascii="Times New Roman" w:eastAsia="Times New Roman" w:hAnsi="Times New Roman" w:cs="Times New Roman"/>
          <w:sz w:val="24"/>
          <w:szCs w:val="24"/>
        </w:rPr>
      </w:pPr>
    </w:p>
    <w:p w:rsidR="00905808" w:rsidRPr="00905808" w:rsidRDefault="00905808" w:rsidP="00905808">
      <w:pPr>
        <w:shd w:val="clear" w:color="auto" w:fill="FFFFFF"/>
        <w:spacing w:line="240" w:lineRule="auto"/>
        <w:jc w:val="both"/>
        <w:textAlignment w:val="baseline"/>
        <w:rPr>
          <w:rFonts w:ascii="Verdana" w:eastAsia="Times New Roman" w:hAnsi="Verdana" w:cs="Times New Roman"/>
          <w:color w:val="333333"/>
        </w:rPr>
      </w:pPr>
      <w:r w:rsidRPr="00905808">
        <w:rPr>
          <w:rFonts w:ascii="inherit" w:eastAsia="Times New Roman" w:hAnsi="inherit" w:cs="Times New Roman"/>
          <w:color w:val="333333"/>
          <w:bdr w:val="none" w:sz="0" w:space="0" w:color="auto" w:frame="1"/>
        </w:rPr>
        <w:t>SB 35, as amended, Wiener. Planning and zoning: affordable housing: streamlined approval process.</w:t>
      </w:r>
    </w:p>
    <w:p w:rsidR="00905808" w:rsidRPr="00905808" w:rsidRDefault="00905808" w:rsidP="00905808">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905808">
        <w:rPr>
          <w:rFonts w:ascii="inherit" w:eastAsia="Times New Roman" w:hAnsi="inherit" w:cs="Times New Roman"/>
          <w:color w:val="333333"/>
          <w:bdr w:val="none" w:sz="0" w:space="0" w:color="auto" w:frame="1"/>
        </w:rPr>
        <w:t>(1) The Planning and Zoning Law requires a city or county to adopt a general plan for land use development within its boundaries that includes, among other things, a housing element. The Planning and Zoning Law requires a planning agency, after a legislative body has adopted all or part of a general plan, to provide an annual report to the legislative body, the Office of Planning and Research, and the Department of Housing and Community Development on the status of the general plan and progress in meeting the community’s share of regional housing needs.</w:t>
      </w:r>
    </w:p>
    <w:p w:rsidR="00905808" w:rsidRPr="00905808" w:rsidRDefault="00905808" w:rsidP="00905808">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905808">
        <w:rPr>
          <w:rFonts w:ascii="inherit" w:eastAsia="Times New Roman" w:hAnsi="inherit" w:cs="Times New Roman"/>
          <w:color w:val="333333"/>
          <w:bdr w:val="none" w:sz="0" w:space="0" w:color="auto" w:frame="1"/>
        </w:rPr>
        <w:t>This bill would require the planning agency to include in its annual report specified information regarding units of</w:t>
      </w:r>
      <w:r w:rsidRPr="00905808">
        <w:rPr>
          <w:rFonts w:ascii="inherit" w:eastAsia="Times New Roman" w:hAnsi="inherit" w:cs="Times New Roman"/>
          <w:i/>
          <w:iCs/>
          <w:color w:val="0000FF"/>
          <w:bdr w:val="none" w:sz="0" w:space="0" w:color="auto" w:frame="1"/>
        </w:rPr>
        <w:t> net new</w:t>
      </w:r>
      <w:r w:rsidRPr="00905808">
        <w:rPr>
          <w:rFonts w:ascii="inherit" w:eastAsia="Times New Roman" w:hAnsi="inherit" w:cs="Times New Roman"/>
          <w:color w:val="333333"/>
          <w:bdr w:val="none" w:sz="0" w:space="0" w:color="auto" w:frame="1"/>
        </w:rPr>
        <w:t> housing, including rental housing and housing designated for</w:t>
      </w:r>
      <w:r w:rsidRPr="00905808">
        <w:rPr>
          <w:rFonts w:ascii="inherit" w:eastAsia="Times New Roman" w:hAnsi="inherit" w:cs="Times New Roman"/>
          <w:strike/>
          <w:color w:val="FF0000"/>
          <w:bdr w:val="none" w:sz="0" w:space="0" w:color="auto" w:frame="1"/>
        </w:rPr>
        <w:t> homeownership,</w:t>
      </w:r>
      <w:r w:rsidRPr="00905808">
        <w:rPr>
          <w:rFonts w:ascii="inherit" w:eastAsia="Times New Roman" w:hAnsi="inherit" w:cs="Times New Roman"/>
          <w:i/>
          <w:iCs/>
          <w:color w:val="0000FF"/>
          <w:bdr w:val="none" w:sz="0" w:space="0" w:color="auto" w:frame="1"/>
        </w:rPr>
        <w:t> home ownership,</w:t>
      </w:r>
      <w:r w:rsidRPr="00905808">
        <w:rPr>
          <w:rFonts w:ascii="inherit" w:eastAsia="Times New Roman" w:hAnsi="inherit" w:cs="Times New Roman"/>
          <w:color w:val="333333"/>
          <w:bdr w:val="none" w:sz="0" w:space="0" w:color="auto" w:frame="1"/>
        </w:rPr>
        <w:t> that have</w:t>
      </w:r>
      <w:r w:rsidRPr="00905808">
        <w:rPr>
          <w:rFonts w:ascii="inherit" w:eastAsia="Times New Roman" w:hAnsi="inherit" w:cs="Times New Roman"/>
          <w:strike/>
          <w:color w:val="FF0000"/>
          <w:bdr w:val="none" w:sz="0" w:space="0" w:color="auto" w:frame="1"/>
        </w:rPr>
        <w:t> secured all approvals from the local government and special districts needed to qualify for a building permit.</w:t>
      </w:r>
      <w:r w:rsidRPr="00905808">
        <w:rPr>
          <w:rFonts w:ascii="inherit" w:eastAsia="Times New Roman" w:hAnsi="inherit" w:cs="Times New Roman"/>
          <w:i/>
          <w:iCs/>
          <w:color w:val="0000FF"/>
          <w:bdr w:val="none" w:sz="0" w:space="0" w:color="auto" w:frame="1"/>
        </w:rPr>
        <w:t> </w:t>
      </w:r>
      <w:proofErr w:type="gramStart"/>
      <w:r w:rsidRPr="00905808">
        <w:rPr>
          <w:rFonts w:ascii="inherit" w:eastAsia="Times New Roman" w:hAnsi="inherit" w:cs="Times New Roman"/>
          <w:i/>
          <w:iCs/>
          <w:color w:val="0000FF"/>
          <w:bdr w:val="none" w:sz="0" w:space="0" w:color="auto" w:frame="1"/>
        </w:rPr>
        <w:t>been</w:t>
      </w:r>
      <w:proofErr w:type="gramEnd"/>
      <w:r w:rsidRPr="00905808">
        <w:rPr>
          <w:rFonts w:ascii="inherit" w:eastAsia="Times New Roman" w:hAnsi="inherit" w:cs="Times New Roman"/>
          <w:i/>
          <w:iCs/>
          <w:color w:val="0000FF"/>
          <w:bdr w:val="none" w:sz="0" w:space="0" w:color="auto" w:frame="1"/>
        </w:rPr>
        <w:t xml:space="preserve"> issued an entitlement, building permit, or certificate of occupancy.</w:t>
      </w:r>
      <w:r w:rsidRPr="00905808">
        <w:rPr>
          <w:rFonts w:ascii="inherit" w:eastAsia="Times New Roman" w:hAnsi="inherit" w:cs="Times New Roman"/>
          <w:color w:val="333333"/>
          <w:bdr w:val="none" w:sz="0" w:space="0" w:color="auto" w:frame="1"/>
        </w:rPr>
        <w:t> The bill would also require the Department of Housing and Community Development to post an annual report submitted pursuant to the requirement described above on its Internet Web site, as provided.</w:t>
      </w:r>
    </w:p>
    <w:p w:rsidR="00905808" w:rsidRPr="00905808" w:rsidRDefault="00905808" w:rsidP="00905808">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905808">
        <w:rPr>
          <w:rFonts w:ascii="inherit" w:eastAsia="Times New Roman" w:hAnsi="inherit" w:cs="Times New Roman"/>
          <w:color w:val="333333"/>
          <w:bdr w:val="none" w:sz="0" w:space="0" w:color="auto" w:frame="1"/>
        </w:rPr>
        <w:t>(2) Existing law requires an attached housing development to be a permitted use, not subject to a conditional use permit, on any parcel zoned for multifamily housing if at least certain percentages of the units are available at affordable housing costs to very low income, lower income, and moderate-income households for at least 30 years and if the project meets specified conditions relating to location and being subject to a discretionary decision other than a conditional use permit. Existing law provides for various incentives intended to facilitate and expedite the construction of affordable housing.</w:t>
      </w:r>
    </w:p>
    <w:p w:rsidR="00905808" w:rsidRPr="00905808" w:rsidRDefault="00905808" w:rsidP="00905808">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905808">
        <w:rPr>
          <w:rFonts w:ascii="inherit" w:eastAsia="Times New Roman" w:hAnsi="inherit" w:cs="Times New Roman"/>
          <w:color w:val="333333"/>
          <w:bdr w:val="none" w:sz="0" w:space="0" w:color="auto" w:frame="1"/>
        </w:rPr>
        <w:t>This bill would require a multifamily housing development that satisfies specified planning objective standards to be subject to a streamlined, ministerial approval process, as provided, and to not be subject to a conditional use permit. The bill would limit the authority of a local government to impose parking standards or requirements on a streamlined development approved pursuant to these provisions, as provided. The bill would provide that if a local government approves a project pursuant to that process, that approval will not expire if that project includes investment in housing affordability, and would otherwise provide that the approval of a project expire automatically after 3 years, unless that project qualifies for a one-time, one-year extension of that approval.</w:t>
      </w:r>
      <w:r w:rsidRPr="00905808">
        <w:rPr>
          <w:rFonts w:ascii="inherit" w:eastAsia="Times New Roman" w:hAnsi="inherit" w:cs="Times New Roman"/>
          <w:i/>
          <w:iCs/>
          <w:color w:val="0000FF"/>
          <w:bdr w:val="none" w:sz="0" w:space="0" w:color="auto" w:frame="1"/>
        </w:rPr>
        <w:t> The bill would prohibit a local government from adopting any requirement that applies to a project solely or partially on the basis that the project receives ministerial or streamlined approval pursuant to these provisions.</w:t>
      </w:r>
    </w:p>
    <w:p w:rsidR="00905808" w:rsidRPr="00905808" w:rsidRDefault="00905808" w:rsidP="00905808">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905808">
        <w:rPr>
          <w:rFonts w:ascii="inherit" w:eastAsia="Times New Roman" w:hAnsi="inherit" w:cs="Times New Roman"/>
          <w:color w:val="333333"/>
          <w:bdr w:val="none" w:sz="0" w:space="0" w:color="auto" w:frame="1"/>
        </w:rPr>
        <w:lastRenderedPageBreak/>
        <w:t>(3) The bill would make findings that ensuring access to affordable housing is a matter of statewide concern and declare that its provisions would apply to all cities and counties, including a charter city, a charter county, or a charter city and county.</w:t>
      </w:r>
    </w:p>
    <w:p w:rsidR="00905808" w:rsidRPr="00905808" w:rsidRDefault="00905808" w:rsidP="00905808">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905808">
        <w:rPr>
          <w:rFonts w:ascii="inherit" w:eastAsia="Times New Roman" w:hAnsi="inherit" w:cs="Times New Roman"/>
          <w:color w:val="333333"/>
          <w:bdr w:val="none" w:sz="0" w:space="0" w:color="auto" w:frame="1"/>
        </w:rPr>
        <w:t>(4) By imposing new duties upon local agencies with respect to the streamlined approval process and reporting requirement described above, this bill would impose a state-mandated local program.</w:t>
      </w:r>
    </w:p>
    <w:p w:rsidR="00905808" w:rsidRPr="00905808" w:rsidRDefault="00905808" w:rsidP="00905808">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905808">
        <w:rPr>
          <w:rFonts w:ascii="inherit" w:eastAsia="Times New Roman" w:hAnsi="inherit" w:cs="Times New Roman"/>
          <w:color w:val="333333"/>
          <w:bdr w:val="none" w:sz="0" w:space="0" w:color="auto" w:frame="1"/>
        </w:rPr>
        <w:t>(5) The California Constitution requires the state to reimburse local agencies and school districts for certain costs mandated by the state. Statutory provisions establish procedures for making that reimbursement.</w:t>
      </w:r>
    </w:p>
    <w:p w:rsidR="00905808" w:rsidRPr="00905808" w:rsidRDefault="00905808" w:rsidP="00905808">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905808">
        <w:rPr>
          <w:rFonts w:ascii="inherit" w:eastAsia="Times New Roman" w:hAnsi="inherit" w:cs="Times New Roman"/>
          <w:color w:val="333333"/>
          <w:bdr w:val="none" w:sz="0" w:space="0" w:color="auto" w:frame="1"/>
        </w:rPr>
        <w:t>This bill would provide that no reimbursement is required by this act for a specified reason.</w:t>
      </w:r>
    </w:p>
    <w:p w:rsidR="00905808" w:rsidRPr="00905808" w:rsidRDefault="00905808" w:rsidP="00905808">
      <w:pPr>
        <w:spacing w:after="0" w:line="288" w:lineRule="atLeast"/>
        <w:textAlignment w:val="baseline"/>
        <w:outlineLvl w:val="1"/>
        <w:rPr>
          <w:rFonts w:ascii="Palatino Linotype" w:eastAsia="Times New Roman" w:hAnsi="Palatino Linotype" w:cs="Times New Roman"/>
          <w:caps/>
          <w:color w:val="333333"/>
          <w:sz w:val="31"/>
          <w:szCs w:val="31"/>
          <w:bdr w:val="none" w:sz="0" w:space="0" w:color="auto" w:frame="1"/>
          <w:shd w:val="clear" w:color="auto" w:fill="FFFFFF"/>
        </w:rPr>
      </w:pPr>
      <w:r w:rsidRPr="00905808">
        <w:rPr>
          <w:rFonts w:ascii="Palatino Linotype" w:eastAsia="Times New Roman" w:hAnsi="Palatino Linotype" w:cs="Times New Roman"/>
          <w:caps/>
          <w:color w:val="333333"/>
          <w:sz w:val="31"/>
          <w:szCs w:val="31"/>
          <w:bdr w:val="none" w:sz="0" w:space="0" w:color="auto" w:frame="1"/>
          <w:shd w:val="clear" w:color="auto" w:fill="FFFFFF"/>
        </w:rPr>
        <w:t>DIGEST KEY</w:t>
      </w:r>
    </w:p>
    <w:p w:rsidR="009240C8" w:rsidRDefault="00905808" w:rsidP="00905808">
      <w:r w:rsidRPr="00905808">
        <w:rPr>
          <w:rFonts w:ascii="Verdana" w:eastAsia="Times New Roman" w:hAnsi="Verdana" w:cs="Times New Roman"/>
          <w:color w:val="333333"/>
          <w:bdr w:val="none" w:sz="0" w:space="0" w:color="auto" w:frame="1"/>
          <w:shd w:val="clear" w:color="auto" w:fill="FFFFFF"/>
        </w:rPr>
        <w:t>Vote: </w:t>
      </w:r>
      <w:r w:rsidRPr="00905808">
        <w:rPr>
          <w:rFonts w:ascii="inherit" w:eastAsia="Times New Roman" w:hAnsi="inherit" w:cs="Times New Roman"/>
          <w:color w:val="333333"/>
          <w:bdr w:val="none" w:sz="0" w:space="0" w:color="auto" w:frame="1"/>
          <w:shd w:val="clear" w:color="auto" w:fill="FFFFFF"/>
        </w:rPr>
        <w:t>majority</w:t>
      </w:r>
      <w:r w:rsidRPr="00905808">
        <w:rPr>
          <w:rFonts w:ascii="Verdana" w:eastAsia="Times New Roman" w:hAnsi="Verdana" w:cs="Times New Roman"/>
          <w:color w:val="333333"/>
          <w:bdr w:val="none" w:sz="0" w:space="0" w:color="auto" w:frame="1"/>
          <w:shd w:val="clear" w:color="auto" w:fill="FFFFFF"/>
        </w:rPr>
        <w:t>   Appropriation: </w:t>
      </w:r>
      <w:r w:rsidRPr="00905808">
        <w:rPr>
          <w:rFonts w:ascii="inherit" w:eastAsia="Times New Roman" w:hAnsi="inherit" w:cs="Times New Roman"/>
          <w:color w:val="333333"/>
          <w:bdr w:val="none" w:sz="0" w:space="0" w:color="auto" w:frame="1"/>
          <w:shd w:val="clear" w:color="auto" w:fill="FFFFFF"/>
        </w:rPr>
        <w:t>no</w:t>
      </w:r>
      <w:r w:rsidRPr="00905808">
        <w:rPr>
          <w:rFonts w:ascii="Verdana" w:eastAsia="Times New Roman" w:hAnsi="Verdana" w:cs="Times New Roman"/>
          <w:color w:val="333333"/>
          <w:bdr w:val="none" w:sz="0" w:space="0" w:color="auto" w:frame="1"/>
          <w:shd w:val="clear" w:color="auto" w:fill="FFFFFF"/>
        </w:rPr>
        <w:t>   Fiscal Committee: </w:t>
      </w:r>
      <w:r w:rsidRPr="00905808">
        <w:rPr>
          <w:rFonts w:ascii="inherit" w:eastAsia="Times New Roman" w:hAnsi="inherit" w:cs="Times New Roman"/>
          <w:color w:val="333333"/>
          <w:bdr w:val="none" w:sz="0" w:space="0" w:color="auto" w:frame="1"/>
          <w:shd w:val="clear" w:color="auto" w:fill="FFFFFF"/>
        </w:rPr>
        <w:t>yes</w:t>
      </w:r>
      <w:r w:rsidRPr="00905808">
        <w:rPr>
          <w:rFonts w:ascii="Verdana" w:eastAsia="Times New Roman" w:hAnsi="Verdana" w:cs="Times New Roman"/>
          <w:color w:val="333333"/>
          <w:bdr w:val="none" w:sz="0" w:space="0" w:color="auto" w:frame="1"/>
          <w:shd w:val="clear" w:color="auto" w:fill="FFFFFF"/>
        </w:rPr>
        <w:t>   Local Program: </w:t>
      </w:r>
      <w:r w:rsidRPr="00905808">
        <w:rPr>
          <w:rFonts w:ascii="inherit" w:eastAsia="Times New Roman" w:hAnsi="inherit" w:cs="Times New Roman"/>
          <w:color w:val="333333"/>
          <w:bdr w:val="none" w:sz="0" w:space="0" w:color="auto" w:frame="1"/>
          <w:shd w:val="clear" w:color="auto" w:fill="FFFFFF"/>
        </w:rPr>
        <w:t>yes</w:t>
      </w:r>
      <w:r w:rsidRPr="00905808">
        <w:rPr>
          <w:rFonts w:ascii="Verdana" w:eastAsia="Times New Roman" w:hAnsi="Verdana" w:cs="Times New Roman"/>
          <w:color w:val="333333"/>
          <w:bdr w:val="none" w:sz="0" w:space="0" w:color="auto" w:frame="1"/>
          <w:shd w:val="clear" w:color="auto" w:fill="FFFFFF"/>
        </w:rPr>
        <w:t>  </w:t>
      </w:r>
    </w:p>
    <w:sectPr w:rsidR="009240C8" w:rsidSect="00D4661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08"/>
    <w:rsid w:val="00056942"/>
    <w:rsid w:val="00905808"/>
    <w:rsid w:val="009240C8"/>
    <w:rsid w:val="00D4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58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580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05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58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580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05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75024">
      <w:bodyDiv w:val="1"/>
      <w:marLeft w:val="0"/>
      <w:marRight w:val="0"/>
      <w:marTop w:val="0"/>
      <w:marBottom w:val="0"/>
      <w:divBdr>
        <w:top w:val="none" w:sz="0" w:space="0" w:color="auto"/>
        <w:left w:val="none" w:sz="0" w:space="0" w:color="auto"/>
        <w:bottom w:val="none" w:sz="0" w:space="0" w:color="auto"/>
        <w:right w:val="none" w:sz="0" w:space="0" w:color="auto"/>
      </w:divBdr>
      <w:divsChild>
        <w:div w:id="1912426538">
          <w:marLeft w:val="0"/>
          <w:marRight w:val="0"/>
          <w:marTop w:val="0"/>
          <w:marBottom w:val="240"/>
          <w:divBdr>
            <w:top w:val="none" w:sz="0" w:space="0" w:color="auto"/>
            <w:left w:val="none" w:sz="0" w:space="0" w:color="auto"/>
            <w:bottom w:val="none" w:sz="0" w:space="0" w:color="auto"/>
            <w:right w:val="none" w:sz="0" w:space="0" w:color="auto"/>
          </w:divBdr>
        </w:div>
        <w:div w:id="2045404955">
          <w:marLeft w:val="0"/>
          <w:marRight w:val="0"/>
          <w:marTop w:val="0"/>
          <w:marBottom w:val="240"/>
          <w:divBdr>
            <w:top w:val="none" w:sz="0" w:space="0" w:color="auto"/>
            <w:left w:val="none" w:sz="0" w:space="0" w:color="auto"/>
            <w:bottom w:val="none" w:sz="0" w:space="0" w:color="auto"/>
            <w:right w:val="none" w:sz="0" w:space="0" w:color="auto"/>
          </w:divBdr>
        </w:div>
        <w:div w:id="697123532">
          <w:marLeft w:val="0"/>
          <w:marRight w:val="0"/>
          <w:marTop w:val="0"/>
          <w:marBottom w:val="240"/>
          <w:divBdr>
            <w:top w:val="none" w:sz="0" w:space="0" w:color="auto"/>
            <w:left w:val="none" w:sz="0" w:space="0" w:color="auto"/>
            <w:bottom w:val="none" w:sz="0" w:space="0" w:color="auto"/>
            <w:right w:val="none" w:sz="0" w:space="0" w:color="auto"/>
          </w:divBdr>
        </w:div>
        <w:div w:id="620306407">
          <w:marLeft w:val="0"/>
          <w:marRight w:val="0"/>
          <w:marTop w:val="0"/>
          <w:marBottom w:val="240"/>
          <w:divBdr>
            <w:top w:val="none" w:sz="0" w:space="0" w:color="auto"/>
            <w:left w:val="none" w:sz="0" w:space="0" w:color="auto"/>
            <w:bottom w:val="none" w:sz="0" w:space="0" w:color="auto"/>
            <w:right w:val="none" w:sz="0" w:space="0" w:color="auto"/>
          </w:divBdr>
        </w:div>
        <w:div w:id="1734115041">
          <w:marLeft w:val="0"/>
          <w:marRight w:val="0"/>
          <w:marTop w:val="0"/>
          <w:marBottom w:val="240"/>
          <w:divBdr>
            <w:top w:val="none" w:sz="0" w:space="0" w:color="auto"/>
            <w:left w:val="none" w:sz="0" w:space="0" w:color="auto"/>
            <w:bottom w:val="none" w:sz="0" w:space="0" w:color="auto"/>
            <w:right w:val="none" w:sz="0" w:space="0" w:color="auto"/>
          </w:divBdr>
        </w:div>
        <w:div w:id="629090015">
          <w:marLeft w:val="0"/>
          <w:marRight w:val="0"/>
          <w:marTop w:val="0"/>
          <w:marBottom w:val="240"/>
          <w:divBdr>
            <w:top w:val="none" w:sz="0" w:space="0" w:color="auto"/>
            <w:left w:val="none" w:sz="0" w:space="0" w:color="auto"/>
            <w:bottom w:val="none" w:sz="0" w:space="0" w:color="auto"/>
            <w:right w:val="none" w:sz="0" w:space="0" w:color="auto"/>
          </w:divBdr>
        </w:div>
        <w:div w:id="998311554">
          <w:marLeft w:val="0"/>
          <w:marRight w:val="0"/>
          <w:marTop w:val="0"/>
          <w:marBottom w:val="240"/>
          <w:divBdr>
            <w:top w:val="none" w:sz="0" w:space="0" w:color="auto"/>
            <w:left w:val="none" w:sz="0" w:space="0" w:color="auto"/>
            <w:bottom w:val="none" w:sz="0" w:space="0" w:color="auto"/>
            <w:right w:val="none" w:sz="0" w:space="0" w:color="auto"/>
          </w:divBdr>
        </w:div>
        <w:div w:id="848837392">
          <w:marLeft w:val="0"/>
          <w:marRight w:val="0"/>
          <w:marTop w:val="0"/>
          <w:marBottom w:val="240"/>
          <w:divBdr>
            <w:top w:val="none" w:sz="0" w:space="0" w:color="auto"/>
            <w:left w:val="none" w:sz="0" w:space="0" w:color="auto"/>
            <w:bottom w:val="none" w:sz="0" w:space="0" w:color="auto"/>
            <w:right w:val="none" w:sz="0" w:space="0" w:color="auto"/>
          </w:divBdr>
        </w:div>
        <w:div w:id="201399448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2017-06-17T01:34:00Z</dcterms:created>
  <dcterms:modified xsi:type="dcterms:W3CDTF">2017-06-17T01:42:00Z</dcterms:modified>
</cp:coreProperties>
</file>