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874DD7">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77777777"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435571">
        <w:rPr>
          <w:sz w:val="20"/>
        </w:rPr>
        <w:t>Eran Heissler, Ken Schwartz &amp; Bob Shmaeff</w:t>
      </w:r>
    </w:p>
    <w:p w14:paraId="2464BEE9" w14:textId="3AD67D38" w:rsidR="00636FB4" w:rsidRDefault="004E4308" w:rsidP="00636FB4">
      <w:pPr>
        <w:pStyle w:val="Date"/>
        <w:tabs>
          <w:tab w:val="left" w:pos="500"/>
          <w:tab w:val="center" w:pos="5256"/>
        </w:tabs>
        <w:jc w:val="center"/>
      </w:pPr>
      <w:r>
        <w:rPr>
          <w:b/>
        </w:rPr>
        <w:t xml:space="preserve">Wednesday, </w:t>
      </w:r>
      <w:r w:rsidR="00724ED4">
        <w:rPr>
          <w:b/>
        </w:rPr>
        <w:t>February</w:t>
      </w:r>
      <w:r w:rsidR="00C56850">
        <w:rPr>
          <w:b/>
        </w:rPr>
        <w:t xml:space="preserve"> </w:t>
      </w:r>
      <w:r w:rsidR="00724ED4">
        <w:rPr>
          <w:b/>
        </w:rPr>
        <w:t>20</w:t>
      </w:r>
      <w:r w:rsidR="00636FB4" w:rsidRPr="00FA1D2C">
        <w:rPr>
          <w:b/>
        </w:rPr>
        <w:t>, 201</w:t>
      </w:r>
      <w:r>
        <w:rPr>
          <w:b/>
        </w:rPr>
        <w:t>9</w:t>
      </w:r>
      <w:r w:rsidR="00636FB4" w:rsidRPr="00FA1D2C">
        <w:rPr>
          <w:b/>
        </w:rPr>
        <w:t>-</w:t>
      </w:r>
      <w:r w:rsidR="00636FB4">
        <w:rPr>
          <w:b/>
        </w:rPr>
        <w:t>7</w:t>
      </w:r>
      <w:r w:rsidR="00636FB4" w:rsidRPr="00FA1D2C">
        <w:rPr>
          <w:b/>
        </w:rPr>
        <w:t>:</w:t>
      </w:r>
      <w:r w:rsidR="00636FB4">
        <w:rPr>
          <w:b/>
        </w:rPr>
        <w:t>00</w:t>
      </w:r>
      <w:r w:rsidR="00636FB4" w:rsidRPr="00FA1D2C">
        <w:rPr>
          <w:b/>
        </w:rPr>
        <w:t xml:space="preserve"> PM</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48794E58" w14:textId="77777777" w:rsidR="00A6568D" w:rsidRPr="00542915" w:rsidRDefault="00A6568D">
      <w:pPr>
        <w:pStyle w:val="BodyText2"/>
        <w:rPr>
          <w:color w:val="000000"/>
          <w:sz w:val="18"/>
          <w:szCs w:val="18"/>
        </w:rPr>
      </w:pPr>
    </w:p>
    <w:p w14:paraId="70BF649A" w14:textId="77777777"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04F6E328" w:rsidR="008A38A1"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724ED4">
        <w:rPr>
          <w:color w:val="000000"/>
          <w:sz w:val="22"/>
          <w:szCs w:val="22"/>
        </w:rPr>
        <w:t>January 1</w:t>
      </w:r>
      <w:r w:rsidR="004A7DA6">
        <w:rPr>
          <w:color w:val="000000"/>
          <w:sz w:val="22"/>
          <w:szCs w:val="22"/>
        </w:rPr>
        <w:t>6</w:t>
      </w:r>
      <w:r w:rsidR="004A5F6D">
        <w:rPr>
          <w:color w:val="000000"/>
          <w:sz w:val="22"/>
          <w:szCs w:val="22"/>
        </w:rPr>
        <w:t>, 201</w:t>
      </w:r>
      <w:r w:rsidR="00724ED4">
        <w:rPr>
          <w:color w:val="000000"/>
          <w:sz w:val="22"/>
          <w:szCs w:val="22"/>
        </w:rPr>
        <w:t>9</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E7516BA" w14:textId="7EFF8476" w:rsidR="00724ED4" w:rsidRPr="002C2E49" w:rsidRDefault="00724ED4" w:rsidP="00164701">
      <w:pPr>
        <w:numPr>
          <w:ilvl w:val="0"/>
          <w:numId w:val="1"/>
        </w:numPr>
        <w:rPr>
          <w:color w:val="000000"/>
          <w:sz w:val="22"/>
          <w:szCs w:val="22"/>
        </w:rPr>
      </w:pPr>
      <w:r>
        <w:rPr>
          <w:color w:val="000000"/>
          <w:sz w:val="22"/>
          <w:szCs w:val="22"/>
        </w:rPr>
        <w:t>Appointment of new Committee member.</w:t>
      </w:r>
    </w:p>
    <w:p w14:paraId="0B7A9F71" w14:textId="6711D7A9"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724ED4">
        <w:rPr>
          <w:color w:val="000000"/>
          <w:sz w:val="22"/>
          <w:szCs w:val="22"/>
        </w:rPr>
        <w:t xml:space="preserve">January </w:t>
      </w:r>
      <w:r w:rsidR="00C56850">
        <w:rPr>
          <w:color w:val="000000"/>
          <w:sz w:val="22"/>
          <w:szCs w:val="22"/>
        </w:rPr>
        <w:t>201</w:t>
      </w:r>
      <w:r w:rsidR="00724ED4">
        <w:rPr>
          <w:color w:val="000000"/>
          <w:sz w:val="22"/>
          <w:szCs w:val="22"/>
        </w:rPr>
        <w:t>9</w:t>
      </w:r>
      <w:r w:rsidR="00DA4787">
        <w:rPr>
          <w:color w:val="000000"/>
          <w:sz w:val="22"/>
          <w:szCs w:val="22"/>
        </w:rPr>
        <w:t>-MER Report</w:t>
      </w:r>
      <w:r w:rsidRPr="00430254">
        <w:rPr>
          <w:color w:val="000000"/>
          <w:sz w:val="22"/>
          <w:szCs w:val="22"/>
        </w:rPr>
        <w:t>.</w:t>
      </w:r>
    </w:p>
    <w:p w14:paraId="7A435AF5" w14:textId="4DB94AE9" w:rsidR="008A4F74" w:rsidRDefault="008A4F74" w:rsidP="008A38A1">
      <w:pPr>
        <w:numPr>
          <w:ilvl w:val="0"/>
          <w:numId w:val="1"/>
        </w:numPr>
        <w:rPr>
          <w:color w:val="000000"/>
          <w:sz w:val="22"/>
          <w:szCs w:val="22"/>
        </w:rPr>
      </w:pPr>
      <w:r w:rsidRPr="008A4F74">
        <w:rPr>
          <w:color w:val="000000"/>
          <w:sz w:val="22"/>
          <w:szCs w:val="22"/>
        </w:rPr>
        <w:t>Review and approval of Financial Statements as of</w:t>
      </w:r>
      <w:r w:rsidR="00724ED4">
        <w:rPr>
          <w:color w:val="000000"/>
          <w:sz w:val="22"/>
          <w:szCs w:val="22"/>
        </w:rPr>
        <w:t xml:space="preserve"> January</w:t>
      </w:r>
      <w:r w:rsidR="004A7DA6">
        <w:rPr>
          <w:color w:val="000000"/>
          <w:sz w:val="22"/>
          <w:szCs w:val="22"/>
        </w:rPr>
        <w:t xml:space="preserve"> </w:t>
      </w:r>
      <w:r w:rsidR="00C35F29">
        <w:rPr>
          <w:color w:val="000000"/>
          <w:sz w:val="22"/>
          <w:szCs w:val="22"/>
        </w:rPr>
        <w:t>3</w:t>
      </w:r>
      <w:r w:rsidR="00C56850">
        <w:rPr>
          <w:color w:val="000000"/>
          <w:sz w:val="22"/>
          <w:szCs w:val="22"/>
        </w:rPr>
        <w:t>1</w:t>
      </w:r>
      <w:r w:rsidRPr="008A4F74">
        <w:rPr>
          <w:color w:val="000000"/>
          <w:sz w:val="22"/>
          <w:szCs w:val="22"/>
        </w:rPr>
        <w:t>, 201</w:t>
      </w:r>
      <w:r w:rsidR="00724ED4">
        <w:rPr>
          <w:color w:val="000000"/>
          <w:sz w:val="22"/>
          <w:szCs w:val="22"/>
        </w:rPr>
        <w:t>9</w:t>
      </w:r>
      <w:r w:rsidRPr="008A4F74">
        <w:rPr>
          <w:color w:val="000000"/>
          <w:sz w:val="22"/>
          <w:szCs w:val="22"/>
        </w:rPr>
        <w:t>.</w:t>
      </w:r>
    </w:p>
    <w:p w14:paraId="54B87617" w14:textId="38159E30" w:rsidR="00865256" w:rsidRDefault="00865256" w:rsidP="008A38A1">
      <w:pPr>
        <w:numPr>
          <w:ilvl w:val="0"/>
          <w:numId w:val="1"/>
        </w:numPr>
        <w:rPr>
          <w:color w:val="000000"/>
          <w:sz w:val="22"/>
          <w:szCs w:val="22"/>
        </w:rPr>
      </w:pPr>
      <w:r>
        <w:rPr>
          <w:color w:val="000000"/>
          <w:sz w:val="22"/>
          <w:szCs w:val="22"/>
        </w:rPr>
        <w:t>Discussion and possible motion on the request from</w:t>
      </w:r>
      <w:r w:rsidR="00B06523">
        <w:rPr>
          <w:color w:val="000000"/>
          <w:sz w:val="22"/>
          <w:szCs w:val="22"/>
        </w:rPr>
        <w:t xml:space="preserve"> Esther Wieder to purchase a tea kettle and coffee maker for use by TNC committees for meeting at the Tarzana Child Care Center at a total cost NTE $50.00, vendor TBD. To be classified as Operations, General, Meeting Expense and come from Unallocated.</w:t>
      </w:r>
    </w:p>
    <w:p w14:paraId="120F6285" w14:textId="17165573" w:rsidR="00C54375" w:rsidRPr="00414985" w:rsidRDefault="00C54375" w:rsidP="000C0634">
      <w:pPr>
        <w:numPr>
          <w:ilvl w:val="0"/>
          <w:numId w:val="1"/>
        </w:numPr>
        <w:rPr>
          <w:color w:val="000000"/>
          <w:sz w:val="22"/>
          <w:szCs w:val="22"/>
        </w:rPr>
      </w:pPr>
      <w:bookmarkStart w:id="0" w:name="_GoBack"/>
      <w:bookmarkEnd w:id="0"/>
      <w:r w:rsidRPr="00414985">
        <w:rPr>
          <w:color w:val="000000"/>
          <w:sz w:val="22"/>
          <w:szCs w:val="22"/>
        </w:rPr>
        <w:t xml:space="preserve">Comments from committee members on subject matters within the Committee's jurisdiction. </w:t>
      </w:r>
    </w:p>
    <w:p w14:paraId="73434DC6" w14:textId="600B4F41"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Wednesday</w:t>
      </w:r>
      <w:r w:rsidR="00002DBF">
        <w:rPr>
          <w:color w:val="000000"/>
          <w:sz w:val="22"/>
          <w:szCs w:val="22"/>
        </w:rPr>
        <w:t>,</w:t>
      </w:r>
      <w:r w:rsidR="00BC052B">
        <w:rPr>
          <w:color w:val="000000"/>
          <w:sz w:val="22"/>
          <w:szCs w:val="22"/>
        </w:rPr>
        <w:t xml:space="preserve"> </w:t>
      </w:r>
      <w:r w:rsidR="00724ED4">
        <w:rPr>
          <w:color w:val="000000"/>
          <w:sz w:val="22"/>
          <w:szCs w:val="22"/>
        </w:rPr>
        <w:t xml:space="preserve">March </w:t>
      </w:r>
      <w:r w:rsidR="000C7019">
        <w:rPr>
          <w:color w:val="000000"/>
          <w:sz w:val="22"/>
          <w:szCs w:val="22"/>
        </w:rPr>
        <w:t>20</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Wednesday</w:t>
      </w:r>
      <w:r w:rsidR="00A6568D">
        <w:rPr>
          <w:color w:val="000000"/>
          <w:sz w:val="22"/>
          <w:szCs w:val="22"/>
        </w:rPr>
        <w:t>,</w:t>
      </w:r>
      <w:r w:rsidR="001B0084">
        <w:rPr>
          <w:color w:val="000000"/>
          <w:sz w:val="22"/>
          <w:szCs w:val="22"/>
        </w:rPr>
        <w:t xml:space="preserve"> </w:t>
      </w:r>
      <w:r w:rsidR="00724ED4">
        <w:rPr>
          <w:color w:val="000000"/>
          <w:sz w:val="22"/>
          <w:szCs w:val="22"/>
        </w:rPr>
        <w:t xml:space="preserve">March </w:t>
      </w:r>
      <w:r w:rsidR="000C7019">
        <w:rPr>
          <w:color w:val="000000"/>
          <w:sz w:val="22"/>
          <w:szCs w:val="22"/>
        </w:rPr>
        <w:t>13</w:t>
      </w:r>
      <w:r w:rsidR="001B0084">
        <w:rPr>
          <w:color w:val="000000"/>
          <w:sz w:val="22"/>
          <w:szCs w:val="22"/>
        </w:rPr>
        <w:t>, 201</w:t>
      </w:r>
      <w:r w:rsidR="00C56850">
        <w:rPr>
          <w:color w:val="000000"/>
          <w:sz w:val="22"/>
          <w:szCs w:val="22"/>
        </w:rPr>
        <w:t>9</w:t>
      </w:r>
      <w:r w:rsidR="00C54375">
        <w:rPr>
          <w:color w:val="000000"/>
          <w:sz w:val="22"/>
          <w:szCs w:val="22"/>
        </w:rPr>
        <w:t>.</w:t>
      </w:r>
    </w:p>
    <w:p w14:paraId="780B8D60" w14:textId="77777777"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3F3F2E">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9759A" w14:textId="77777777" w:rsidR="00874DD7" w:rsidRDefault="00874DD7">
      <w:r>
        <w:separator/>
      </w:r>
    </w:p>
  </w:endnote>
  <w:endnote w:type="continuationSeparator" w:id="0">
    <w:p w14:paraId="7BA91FA6" w14:textId="77777777" w:rsidR="00874DD7" w:rsidRDefault="0087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8B02" w14:textId="77777777" w:rsidR="00874DD7" w:rsidRDefault="00874DD7">
      <w:r>
        <w:separator/>
      </w:r>
    </w:p>
  </w:footnote>
  <w:footnote w:type="continuationSeparator" w:id="0">
    <w:p w14:paraId="054A785E" w14:textId="77777777" w:rsidR="00874DD7" w:rsidRDefault="0087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7795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4503E"/>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541C3"/>
    <w:rsid w:val="00560E59"/>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4ED4"/>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749AD"/>
    <w:rsid w:val="00874A8C"/>
    <w:rsid w:val="00874DD7"/>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3A27"/>
    <w:rsid w:val="00AF5EE4"/>
    <w:rsid w:val="00B06523"/>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1B1B"/>
    <w:rsid w:val="00B94D0F"/>
    <w:rsid w:val="00B95648"/>
    <w:rsid w:val="00BA03EE"/>
    <w:rsid w:val="00BA67CD"/>
    <w:rsid w:val="00BB215B"/>
    <w:rsid w:val="00BB38F5"/>
    <w:rsid w:val="00BB527F"/>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7B3D4-9CFC-4B4E-BA23-48B5362E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3617</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5</cp:revision>
  <cp:lastPrinted>2019-01-10T22:06:00Z</cp:lastPrinted>
  <dcterms:created xsi:type="dcterms:W3CDTF">2019-02-06T23:16:00Z</dcterms:created>
  <dcterms:modified xsi:type="dcterms:W3CDTF">2019-02-14T04:07:00Z</dcterms:modified>
</cp:coreProperties>
</file>